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spacing w:after="240" w:before="40" w:line="276" w:lineRule="auto"/>
        <w:jc w:val="center"/>
        <w:rPr>
          <w:rFonts w:ascii="Cambria" w:cs="Cambria" w:eastAsia="Cambria" w:hAnsi="Cambria"/>
          <w:color w:val="366091"/>
          <w:sz w:val="26"/>
          <w:szCs w:val="2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1743075</wp:posOffset>
            </wp:positionH>
            <wp:positionV relativeFrom="paragraph">
              <wp:posOffset>0</wp:posOffset>
            </wp:positionV>
            <wp:extent cx="2456793" cy="1266487"/>
            <wp:effectExtent b="0" l="0" r="0" t="0"/>
            <wp:wrapSquare wrapText="bothSides" distB="0" distT="0" distL="0" distR="0"/>
            <wp:docPr descr="snca_09_logo_small.jpg" id="1" name="image1.png"/>
            <a:graphic>
              <a:graphicData uri="http://schemas.openxmlformats.org/drawingml/2006/picture">
                <pic:pic>
                  <pic:nvPicPr>
                    <pic:cNvPr descr="snca_09_logo_small.jpg" id="0" name="image1.png"/>
                    <pic:cNvPicPr preferRelativeResize="0"/>
                  </pic:nvPicPr>
                  <pic:blipFill>
                    <a:blip r:embed="rId6"/>
                    <a:srcRect b="0" l="0" r="0" t="0"/>
                    <a:stretch>
                      <a:fillRect/>
                    </a:stretch>
                  </pic:blipFill>
                  <pic:spPr>
                    <a:xfrm>
                      <a:off x="0" y="0"/>
                      <a:ext cx="2456793" cy="1266487"/>
                    </a:xfrm>
                    <a:prstGeom prst="rect"/>
                    <a:ln/>
                  </pic:spPr>
                </pic:pic>
              </a:graphicData>
            </a:graphic>
          </wp:anchor>
        </w:drawing>
      </w:r>
    </w:p>
    <w:p w:rsidR="00000000" w:rsidDel="00000000" w:rsidP="00000000" w:rsidRDefault="00000000" w:rsidRPr="00000000" w14:paraId="00000002">
      <w:pPr>
        <w:pStyle w:val="Heading2"/>
        <w:pageBreakBefore w:val="0"/>
        <w:spacing w:after="240" w:before="40" w:line="276" w:lineRule="auto"/>
        <w:jc w:val="center"/>
        <w:rPr>
          <w:rFonts w:ascii="Cambria" w:cs="Cambria" w:eastAsia="Cambria" w:hAnsi="Cambria"/>
          <w:color w:val="366091"/>
          <w:sz w:val="26"/>
          <w:szCs w:val="26"/>
        </w:rPr>
      </w:pPr>
      <w:r w:rsidDel="00000000" w:rsidR="00000000" w:rsidRPr="00000000">
        <w:rPr>
          <w:rtl w:val="0"/>
        </w:rPr>
      </w:r>
    </w:p>
    <w:p w:rsidR="00000000" w:rsidDel="00000000" w:rsidP="00000000" w:rsidRDefault="00000000" w:rsidRPr="00000000" w14:paraId="00000003">
      <w:pPr>
        <w:pStyle w:val="Heading2"/>
        <w:pageBreakBefore w:val="0"/>
        <w:spacing w:after="240" w:before="40" w:line="276" w:lineRule="auto"/>
        <w:jc w:val="center"/>
        <w:rPr>
          <w:rFonts w:ascii="Cambria" w:cs="Cambria" w:eastAsia="Cambria" w:hAnsi="Cambria"/>
          <w:color w:val="366091"/>
          <w:sz w:val="26"/>
          <w:szCs w:val="26"/>
        </w:rPr>
      </w:pPr>
      <w:r w:rsidDel="00000000" w:rsidR="00000000" w:rsidRPr="00000000">
        <w:rPr>
          <w:rtl w:val="0"/>
        </w:rPr>
      </w:r>
    </w:p>
    <w:p w:rsidR="00000000" w:rsidDel="00000000" w:rsidP="00000000" w:rsidRDefault="00000000" w:rsidRPr="00000000" w14:paraId="00000004">
      <w:pPr>
        <w:pStyle w:val="Heading2"/>
        <w:pageBreakBefore w:val="0"/>
        <w:spacing w:after="240" w:before="40" w:line="276" w:lineRule="auto"/>
        <w:jc w:val="center"/>
        <w:rPr>
          <w:rFonts w:ascii="Cambria" w:cs="Cambria" w:eastAsia="Cambria" w:hAnsi="Cambria"/>
          <w:color w:val="366091"/>
          <w:sz w:val="26"/>
          <w:szCs w:val="26"/>
        </w:rPr>
      </w:pPr>
      <w:r w:rsidDel="00000000" w:rsidR="00000000" w:rsidRPr="00000000">
        <w:rPr>
          <w:rtl w:val="0"/>
        </w:rPr>
      </w:r>
    </w:p>
    <w:p w:rsidR="00000000" w:rsidDel="00000000" w:rsidP="00000000" w:rsidRDefault="00000000" w:rsidRPr="00000000" w14:paraId="00000005">
      <w:pPr>
        <w:pStyle w:val="Heading2"/>
        <w:pageBreakBefore w:val="0"/>
        <w:spacing w:after="240" w:before="40" w:line="276" w:lineRule="auto"/>
        <w:jc w:val="center"/>
        <w:rPr>
          <w:rFonts w:ascii="Cambria" w:cs="Cambria" w:eastAsia="Cambria" w:hAnsi="Cambria"/>
          <w:color w:val="366091"/>
          <w:sz w:val="26"/>
          <w:szCs w:val="26"/>
        </w:rPr>
      </w:pPr>
      <w:r w:rsidDel="00000000" w:rsidR="00000000" w:rsidRPr="00000000">
        <w:rPr>
          <w:rFonts w:ascii="Cambria" w:cs="Cambria" w:eastAsia="Cambria" w:hAnsi="Cambria"/>
          <w:color w:val="366091"/>
          <w:sz w:val="26"/>
          <w:szCs w:val="26"/>
          <w:rtl w:val="0"/>
        </w:rPr>
        <w:t xml:space="preserve">C. David Jackson Memorial Student Scholarship Application</w:t>
      </w:r>
    </w:p>
    <w:p w:rsidR="00000000" w:rsidDel="00000000" w:rsidP="00000000" w:rsidRDefault="00000000" w:rsidRPr="00000000" w14:paraId="00000006">
      <w:pPr>
        <w:pageBreakBefore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The Society of North Carolina Archivists (SNCA) will offer</w:t>
      </w:r>
      <w:r w:rsidDel="00000000" w:rsidR="00000000" w:rsidRPr="00000000">
        <w:rPr>
          <w:rFonts w:ascii="Calibri" w:cs="Calibri" w:eastAsia="Calibri" w:hAnsi="Calibri"/>
          <w:rtl w:val="0"/>
        </w:rPr>
        <w:t xml:space="preserve"> up to four scholarships of $250 each to students wishing to attend the 2023 SNCA Annual Conference (March 30-31). While the conference is virtual and requires no registration fee this year, this award is intended to encourage student involvement</w:t>
      </w:r>
      <w:r w:rsidDel="00000000" w:rsidR="00000000" w:rsidRPr="00000000">
        <w:rPr>
          <w:rFonts w:ascii="Calibri" w:cs="Calibri" w:eastAsia="Calibri" w:hAnsi="Calibri"/>
          <w:rtl w:val="0"/>
        </w:rPr>
        <w:t xml:space="preserve"> and allow recipients to pursue professional development opportunities. A one-year SNCA membership is also included with the scholarship. </w:t>
      </w:r>
    </w:p>
    <w:p w:rsidR="00000000" w:rsidDel="00000000" w:rsidP="00000000" w:rsidRDefault="00000000" w:rsidRPr="00000000" w14:paraId="00000007">
      <w:pPr>
        <w:pageBreakBefore w:val="0"/>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Purpose:</w:t>
      </w:r>
      <w:r w:rsidDel="00000000" w:rsidR="00000000" w:rsidRPr="00000000">
        <w:rPr>
          <w:rFonts w:ascii="Calibri" w:cs="Calibri" w:eastAsia="Calibri" w:hAnsi="Calibri"/>
          <w:rtl w:val="0"/>
        </w:rPr>
        <w:t xml:space="preserve"> This scholarship is intended to promote continuing archival education and professional alliances among archivists in North Carolina. In addition to using the scholarship funds to support attendance at the annual meeting, recipients are encouraged to use scholarship funds to register for workshops and other professional development opportunities that would provide supplemental education to existing coursework and work experiences.</w:t>
      </w:r>
    </w:p>
    <w:p w:rsidR="00000000" w:rsidDel="00000000" w:rsidP="00000000" w:rsidRDefault="00000000" w:rsidRPr="00000000" w14:paraId="00000008">
      <w:pPr>
        <w:pageBreakBefore w:val="0"/>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Eligibility:</w:t>
      </w:r>
      <w:r w:rsidDel="00000000" w:rsidR="00000000" w:rsidRPr="00000000">
        <w:rPr>
          <w:rFonts w:ascii="Calibri" w:cs="Calibri" w:eastAsia="Calibri" w:hAnsi="Calibri"/>
          <w:rtl w:val="0"/>
        </w:rPr>
        <w:t xml:space="preserve"> Applicants must be students enrolled in an archival studies, public history, or library science program in North Carolina. Previous SNCA scholarship recipients may not make further applications.</w:t>
      </w:r>
    </w:p>
    <w:p w:rsidR="00000000" w:rsidDel="00000000" w:rsidP="00000000" w:rsidRDefault="00000000" w:rsidRPr="00000000" w14:paraId="00000009">
      <w:pPr>
        <w:pageBreakBefore w:val="0"/>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Application: </w:t>
      </w:r>
      <w:r w:rsidDel="00000000" w:rsidR="00000000" w:rsidRPr="00000000">
        <w:rPr>
          <w:rFonts w:ascii="Calibri" w:cs="Calibri" w:eastAsia="Calibri" w:hAnsi="Calibri"/>
          <w:rtl w:val="0"/>
        </w:rPr>
        <w:t xml:space="preserve">Submit this form and a current resume/CV to the Education Committee Chair at </w:t>
      </w:r>
      <w:hyperlink r:id="rId7">
        <w:r w:rsidDel="00000000" w:rsidR="00000000" w:rsidRPr="00000000">
          <w:rPr>
            <w:rFonts w:ascii="Calibri" w:cs="Calibri" w:eastAsia="Calibri" w:hAnsi="Calibri"/>
            <w:color w:val="1155cc"/>
            <w:u w:val="single"/>
            <w:rtl w:val="0"/>
          </w:rPr>
          <w:t xml:space="preserve">joshua.hager@ncdcr.gov</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Due date is February 27, 2023.</w:t>
      </w:r>
      <w:r w:rsidDel="00000000" w:rsidR="00000000" w:rsidRPr="00000000">
        <w:rPr>
          <w:rtl w:val="0"/>
        </w:rPr>
      </w:r>
    </w:p>
    <w:p w:rsidR="00000000" w:rsidDel="00000000" w:rsidP="00000000" w:rsidRDefault="00000000" w:rsidRPr="00000000" w14:paraId="0000000A">
      <w:pPr>
        <w:pageBreakBefore w:val="0"/>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Disbursement of Funds</w:t>
      </w:r>
      <w:r w:rsidDel="00000000" w:rsidR="00000000" w:rsidRPr="00000000">
        <w:rPr>
          <w:rFonts w:ascii="Calibri" w:cs="Calibri" w:eastAsia="Calibri" w:hAnsi="Calibri"/>
          <w:rtl w:val="0"/>
        </w:rPr>
        <w:t xml:space="preserve">: Scholarship funds will be provided to the recipients prior to the conference as a one-time payment. </w:t>
      </w:r>
      <w:r w:rsidDel="00000000" w:rsidR="00000000" w:rsidRPr="00000000">
        <w:rPr>
          <w:rtl w:val="0"/>
        </w:rPr>
      </w:r>
    </w:p>
    <w:p w:rsidR="00000000" w:rsidDel="00000000" w:rsidP="00000000" w:rsidRDefault="00000000" w:rsidRPr="00000000" w14:paraId="0000000B">
      <w:pPr>
        <w:pStyle w:val="Heading1"/>
        <w:pageBreakBefore w:val="0"/>
        <w:spacing w:after="0" w:before="240" w:line="276" w:lineRule="auto"/>
        <w:rPr>
          <w:rFonts w:ascii="Calibri" w:cs="Calibri" w:eastAsia="Calibri" w:hAnsi="Calibri"/>
          <w:b w:val="1"/>
        </w:rPr>
      </w:pPr>
      <w:r w:rsidDel="00000000" w:rsidR="00000000" w:rsidRPr="00000000">
        <w:rPr>
          <w:rFonts w:ascii="Cambria" w:cs="Cambria" w:eastAsia="Cambria" w:hAnsi="Cambria"/>
          <w:color w:val="366091"/>
          <w:sz w:val="32"/>
          <w:szCs w:val="32"/>
          <w:rtl w:val="0"/>
        </w:rPr>
        <w:t xml:space="preserve">Contact Information:</w:t>
      </w:r>
      <w:r w:rsidDel="00000000" w:rsidR="00000000" w:rsidRPr="00000000">
        <w:rPr>
          <w:rFonts w:ascii="Calibri" w:cs="Calibri" w:eastAsia="Calibri" w:hAnsi="Calibri"/>
          <w:rtl w:val="0"/>
        </w:rPr>
        <w:t xml:space="preserve"> </w:t>
        <w:tab/>
        <w:t xml:space="preserve">   </w:t>
      </w:r>
      <w:r w:rsidDel="00000000" w:rsidR="00000000" w:rsidRPr="00000000">
        <w:rPr>
          <w:rtl w:val="0"/>
        </w:rPr>
      </w:r>
    </w:p>
    <w:p w:rsidR="00000000" w:rsidDel="00000000" w:rsidP="00000000" w:rsidRDefault="00000000" w:rsidRPr="00000000" w14:paraId="0000000C">
      <w:pPr>
        <w:pageBreakBefore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Name:</w:t>
      </w:r>
    </w:p>
    <w:p w:rsidR="00000000" w:rsidDel="00000000" w:rsidP="00000000" w:rsidRDefault="00000000" w:rsidRPr="00000000" w14:paraId="0000000D">
      <w:pPr>
        <w:pageBreakBefore w:val="0"/>
        <w:spacing w:after="200" w:line="276" w:lineRule="auto"/>
        <w:rPr>
          <w:rFonts w:ascii="Calibri" w:cs="Calibri" w:eastAsia="Calibri" w:hAnsi="Calibri"/>
          <w:b w:val="1"/>
        </w:rPr>
      </w:pPr>
      <w:r w:rsidDel="00000000" w:rsidR="00000000" w:rsidRPr="00000000">
        <w:rPr>
          <w:rFonts w:ascii="Calibri" w:cs="Calibri" w:eastAsia="Calibri" w:hAnsi="Calibri"/>
          <w:rtl w:val="0"/>
        </w:rPr>
        <w:t xml:space="preserve">Mailing address: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E">
      <w:pPr>
        <w:pageBreakBefore w:val="0"/>
        <w:spacing w:after="200" w:line="276" w:lineRule="auto"/>
        <w:rPr>
          <w:rFonts w:ascii="Calibri" w:cs="Calibri" w:eastAsia="Calibri" w:hAnsi="Calibri"/>
          <w:b w:val="1"/>
        </w:rPr>
      </w:pPr>
      <w:r w:rsidDel="00000000" w:rsidR="00000000" w:rsidRPr="00000000">
        <w:rPr>
          <w:rFonts w:ascii="Calibri" w:cs="Calibri" w:eastAsia="Calibri" w:hAnsi="Calibri"/>
          <w:rtl w:val="0"/>
        </w:rPr>
        <w:t xml:space="preserve">Telephone: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rtl w:val="0"/>
        </w:rPr>
        <w:t xml:space="preserve">Email address: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F">
      <w:pPr>
        <w:pageBreakBefore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School attending:      </w:t>
        <w:tab/>
        <w:tab/>
        <w:tab/>
      </w: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Level of education completed:   </w:t>
        <w:br w:type="textWrapping"/>
      </w:r>
    </w:p>
    <w:p w:rsidR="00000000" w:rsidDel="00000000" w:rsidP="00000000" w:rsidRDefault="00000000" w:rsidRPr="00000000" w14:paraId="00000010">
      <w:pPr>
        <w:pStyle w:val="Heading1"/>
        <w:pageBreakBefore w:val="0"/>
        <w:spacing w:after="0" w:before="240" w:line="276" w:lineRule="auto"/>
        <w:rPr>
          <w:rFonts w:ascii="Calibri" w:cs="Calibri" w:eastAsia="Calibri" w:hAnsi="Calibri"/>
          <w:sz w:val="12"/>
          <w:szCs w:val="12"/>
        </w:rPr>
      </w:pPr>
      <w:bookmarkStart w:colFirst="0" w:colLast="0" w:name="_tqgtfz611isf" w:id="0"/>
      <w:bookmarkEnd w:id="0"/>
      <w:r w:rsidDel="00000000" w:rsidR="00000000" w:rsidRPr="00000000">
        <w:rPr>
          <w:rFonts w:ascii="Cambria" w:cs="Cambria" w:eastAsia="Cambria" w:hAnsi="Cambria"/>
          <w:color w:val="366091"/>
          <w:sz w:val="32"/>
          <w:szCs w:val="32"/>
          <w:rtl w:val="0"/>
        </w:rPr>
        <w:t xml:space="preserve">Interest in </w:t>
      </w:r>
      <w:r w:rsidDel="00000000" w:rsidR="00000000" w:rsidRPr="00000000">
        <w:rPr>
          <w:rFonts w:ascii="Cambria" w:cs="Cambria" w:eastAsia="Cambria" w:hAnsi="Cambria"/>
          <w:color w:val="366091"/>
          <w:sz w:val="32"/>
          <w:szCs w:val="32"/>
          <w:rtl w:val="0"/>
        </w:rPr>
        <w:t xml:space="preserve">Archives</w:t>
      </w:r>
      <w:r w:rsidDel="00000000" w:rsidR="00000000" w:rsidRPr="00000000">
        <w:rPr>
          <w:rtl w:val="0"/>
        </w:rPr>
      </w:r>
    </w:p>
    <w:p w:rsidR="00000000" w:rsidDel="00000000" w:rsidP="00000000" w:rsidRDefault="00000000" w:rsidRPr="00000000" w14:paraId="00000011">
      <w:pPr>
        <w:pageBreakBefore w:val="0"/>
        <w:spacing w:after="200" w:line="276" w:lineRule="auto"/>
        <w:rPr>
          <w:rFonts w:ascii="Calibri" w:cs="Calibri" w:eastAsia="Calibri" w:hAnsi="Calibri"/>
          <w:highlight w:val="white"/>
        </w:rPr>
      </w:pPr>
      <w:r w:rsidDel="00000000" w:rsidR="00000000" w:rsidRPr="00000000">
        <w:rPr>
          <w:rFonts w:ascii="Calibri" w:cs="Calibri" w:eastAsia="Calibri" w:hAnsi="Calibri"/>
          <w:sz w:val="12"/>
          <w:szCs w:val="12"/>
          <w:highlight w:val="white"/>
          <w:rtl w:val="0"/>
        </w:rPr>
        <w:br w:type="textWrapping"/>
      </w:r>
      <w:r w:rsidDel="00000000" w:rsidR="00000000" w:rsidRPr="00000000">
        <w:rPr>
          <w:rFonts w:ascii="Calibri" w:cs="Calibri" w:eastAsia="Calibri" w:hAnsi="Calibri"/>
          <w:highlight w:val="white"/>
          <w:rtl w:val="0"/>
        </w:rPr>
        <w:t xml:space="preserve">Tell us about your interest in archives. What prompted you to pursue a career in the field? (300 word limit)</w:t>
      </w:r>
    </w:p>
    <w:p w:rsidR="00000000" w:rsidDel="00000000" w:rsidP="00000000" w:rsidRDefault="00000000" w:rsidRPr="00000000" w14:paraId="00000012">
      <w:pPr>
        <w:pageBreakBefore w:val="0"/>
        <w:spacing w:after="200" w:line="276" w:lineRule="auto"/>
        <w:rPr>
          <w:rFonts w:ascii="Calibri" w:cs="Calibri" w:eastAsia="Calibri" w:hAnsi="Calibri"/>
        </w:rPr>
      </w:pPr>
      <w:r w:rsidDel="00000000" w:rsidR="00000000" w:rsidRPr="00000000">
        <w:rPr>
          <w:rFonts w:ascii="Calibri" w:cs="Calibri" w:eastAsia="Calibri" w:hAnsi="Calibri"/>
          <w:highlight w:val="white"/>
          <w:rtl w:val="0"/>
        </w:rPr>
        <w:br w:type="textWrapping"/>
      </w:r>
      <w:r w:rsidDel="00000000" w:rsidR="00000000" w:rsidRPr="00000000">
        <w:rPr>
          <w:rFonts w:ascii="Calibri" w:cs="Calibri" w:eastAsia="Calibri" w:hAnsi="Calibri"/>
          <w:rtl w:val="0"/>
        </w:rPr>
        <w:t xml:space="preserve">Discuss your interest in SNCA and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in attending our annual meeting in 2022.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(300 word limit)</w:t>
      </w:r>
    </w:p>
    <w:p w:rsidR="00000000" w:rsidDel="00000000" w:rsidP="00000000" w:rsidRDefault="00000000" w:rsidRPr="00000000" w14:paraId="00000013">
      <w:pPr>
        <w:pageBreakBefore w:val="0"/>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pStyle w:val="Heading1"/>
        <w:pageBreakBefore w:val="0"/>
        <w:spacing w:after="0" w:before="240" w:line="276" w:lineRule="auto"/>
        <w:rPr>
          <w:rFonts w:ascii="Cambria" w:cs="Cambria" w:eastAsia="Cambria" w:hAnsi="Cambria"/>
          <w:color w:val="366091"/>
          <w:sz w:val="32"/>
          <w:szCs w:val="32"/>
        </w:rPr>
      </w:pPr>
      <w:r w:rsidDel="00000000" w:rsidR="00000000" w:rsidRPr="00000000">
        <w:rPr>
          <w:rFonts w:ascii="Cambria" w:cs="Cambria" w:eastAsia="Cambria" w:hAnsi="Cambria"/>
          <w:color w:val="366091"/>
          <w:sz w:val="32"/>
          <w:szCs w:val="32"/>
          <w:rtl w:val="0"/>
        </w:rPr>
        <w:t xml:space="preserve">Archival Training</w:t>
      </w:r>
      <w:r w:rsidDel="00000000" w:rsidR="00000000" w:rsidRPr="00000000">
        <w:rPr>
          <w:rtl w:val="0"/>
        </w:rPr>
      </w:r>
    </w:p>
    <w:p w:rsidR="00000000" w:rsidDel="00000000" w:rsidP="00000000" w:rsidRDefault="00000000" w:rsidRPr="00000000" w14:paraId="00000015">
      <w:pPr>
        <w:pageBreakBefore w:val="0"/>
        <w:spacing w:after="200" w:line="276" w:lineRule="auto"/>
        <w:ind w:left="0" w:firstLine="0"/>
        <w:rPr>
          <w:rFonts w:ascii="Calibri" w:cs="Calibri" w:eastAsia="Calibri" w:hAnsi="Calibri"/>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rtl w:val="0"/>
        </w:rPr>
        <w:t xml:space="preserve">Check all that apply (left click box to select, then right click to select checkmark):</w:t>
      </w:r>
      <w:r w:rsidDel="00000000" w:rsidR="00000000" w:rsidRPr="00000000">
        <w:rPr>
          <w:rtl w:val="0"/>
        </w:rPr>
      </w:r>
    </w:p>
    <w:p w:rsidR="00000000" w:rsidDel="00000000" w:rsidP="00000000" w:rsidRDefault="00000000" w:rsidRPr="00000000" w14:paraId="00000016">
      <w:pPr>
        <w:pageBreakBefore w:val="0"/>
        <w:numPr>
          <w:ilvl w:val="0"/>
          <w:numId w:val="1"/>
        </w:numPr>
        <w:spacing w:after="0" w:after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No Training</w:t>
      </w:r>
    </w:p>
    <w:p w:rsidR="00000000" w:rsidDel="00000000" w:rsidP="00000000" w:rsidRDefault="00000000" w:rsidRPr="00000000" w14:paraId="00000017">
      <w:pPr>
        <w:pageBreakBefore w:val="0"/>
        <w:numPr>
          <w:ilvl w:val="0"/>
          <w:numId w:val="1"/>
        </w:numPr>
        <w:spacing w:after="0" w:after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Volunteer Work</w:t>
      </w:r>
    </w:p>
    <w:p w:rsidR="00000000" w:rsidDel="00000000" w:rsidP="00000000" w:rsidRDefault="00000000" w:rsidRPr="00000000" w14:paraId="00000018">
      <w:pPr>
        <w:pageBreakBefore w:val="0"/>
        <w:numPr>
          <w:ilvl w:val="0"/>
          <w:numId w:val="1"/>
        </w:numPr>
        <w:spacing w:after="0" w:after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Undergraduate: Internship, short-term work</w:t>
      </w:r>
    </w:p>
    <w:p w:rsidR="00000000" w:rsidDel="00000000" w:rsidP="00000000" w:rsidRDefault="00000000" w:rsidRPr="00000000" w14:paraId="00000019">
      <w:pPr>
        <w:pageBreakBefore w:val="0"/>
        <w:numPr>
          <w:ilvl w:val="0"/>
          <w:numId w:val="1"/>
        </w:numPr>
        <w:spacing w:after="0" w:after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Undergraduate: On-the-job training </w:t>
        <w:tab/>
        <w:tab/>
        <w:tab/>
        <w:tab/>
      </w:r>
      <w:r w:rsidDel="00000000" w:rsidR="00000000" w:rsidRPr="00000000">
        <w:rPr>
          <w:rtl w:val="0"/>
        </w:rPr>
      </w:r>
    </w:p>
    <w:p w:rsidR="00000000" w:rsidDel="00000000" w:rsidP="00000000" w:rsidRDefault="00000000" w:rsidRPr="00000000" w14:paraId="0000001A">
      <w:pPr>
        <w:pageBreakBefore w:val="0"/>
        <w:numPr>
          <w:ilvl w:val="0"/>
          <w:numId w:val="1"/>
        </w:numPr>
        <w:spacing w:after="0" w:after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Graduate: Internship, short-term work</w:t>
        <w:tab/>
      </w:r>
      <w:r w:rsidDel="00000000" w:rsidR="00000000" w:rsidRPr="00000000">
        <w:rPr>
          <w:rtl w:val="0"/>
        </w:rPr>
      </w:r>
    </w:p>
    <w:p w:rsidR="00000000" w:rsidDel="00000000" w:rsidP="00000000" w:rsidRDefault="00000000" w:rsidRPr="00000000" w14:paraId="0000001B">
      <w:pPr>
        <w:pageBreakBefore w:val="0"/>
        <w:numPr>
          <w:ilvl w:val="0"/>
          <w:numId w:val="1"/>
        </w:numPr>
        <w:spacing w:after="0" w:after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Graduate: On-the-job training</w:t>
      </w:r>
      <w:r w:rsidDel="00000000" w:rsidR="00000000" w:rsidRPr="00000000">
        <w:rPr>
          <w:rtl w:val="0"/>
        </w:rPr>
      </w:r>
    </w:p>
    <w:p w:rsidR="00000000" w:rsidDel="00000000" w:rsidP="00000000" w:rsidRDefault="00000000" w:rsidRPr="00000000" w14:paraId="0000001C">
      <w:pPr>
        <w:pageBreakBefore w:val="0"/>
        <w:numPr>
          <w:ilvl w:val="0"/>
          <w:numId w:val="1"/>
        </w:numPr>
        <w:spacing w:after="0" w:after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Workshops</w:t>
        <w:tab/>
        <w:tab/>
        <w:tab/>
        <w:tab/>
        <w:tab/>
        <w:tab/>
      </w:r>
      <w:r w:rsidDel="00000000" w:rsidR="00000000" w:rsidRPr="00000000">
        <w:rPr>
          <w:rtl w:val="0"/>
        </w:rPr>
      </w:r>
    </w:p>
    <w:p w:rsidR="00000000" w:rsidDel="00000000" w:rsidP="00000000" w:rsidRDefault="00000000" w:rsidRPr="00000000" w14:paraId="0000001D">
      <w:pPr>
        <w:pageBreakBefore w:val="0"/>
        <w:numPr>
          <w:ilvl w:val="0"/>
          <w:numId w:val="1"/>
        </w:numPr>
        <w:spacing w:after="20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Other (please explain)</w:t>
      </w:r>
    </w:p>
    <w:p w:rsidR="00000000" w:rsidDel="00000000" w:rsidP="00000000" w:rsidRDefault="00000000" w:rsidRPr="00000000" w14:paraId="0000001E">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Discuss the ways in which you have pursued archival learning opportunities where you live and/or attend school. </w:t>
      </w:r>
      <w:r w:rsidDel="00000000" w:rsidR="00000000" w:rsidRPr="00000000">
        <w:rPr>
          <w:rFonts w:ascii="Calibri" w:cs="Calibri" w:eastAsia="Calibri" w:hAnsi="Calibri"/>
          <w:rtl w:val="0"/>
        </w:rPr>
        <w:t xml:space="preserve">You may also choose to address any difficulties or limited opportunities here.</w:t>
      </w:r>
      <w:r w:rsidDel="00000000" w:rsidR="00000000" w:rsidRPr="00000000">
        <w:rPr>
          <w:rFonts w:ascii="Calibri" w:cs="Calibri" w:eastAsia="Calibri" w:hAnsi="Calibri"/>
          <w:rtl w:val="0"/>
        </w:rPr>
        <w:t xml:space="preserve"> (150 word limit)</w:t>
        <w:br w:type="textWrapping"/>
      </w:r>
      <w:r w:rsidDel="00000000" w:rsidR="00000000" w:rsidRPr="00000000">
        <w:rPr>
          <w:rtl w:val="0"/>
        </w:rPr>
      </w:r>
    </w:p>
    <w:p w:rsidR="00000000" w:rsidDel="00000000" w:rsidP="00000000" w:rsidRDefault="00000000" w:rsidRPr="00000000" w14:paraId="0000001F">
      <w:pPr>
        <w:pStyle w:val="Heading1"/>
        <w:pageBreakBefore w:val="0"/>
        <w:spacing w:after="0" w:before="240" w:line="276" w:lineRule="auto"/>
        <w:rPr>
          <w:rFonts w:ascii="Cambria" w:cs="Cambria" w:eastAsia="Cambria" w:hAnsi="Cambria"/>
          <w:color w:val="366091"/>
          <w:sz w:val="32"/>
          <w:szCs w:val="32"/>
        </w:rPr>
      </w:pPr>
      <w:r w:rsidDel="00000000" w:rsidR="00000000" w:rsidRPr="00000000">
        <w:rPr>
          <w:rFonts w:ascii="Cambria" w:cs="Cambria" w:eastAsia="Cambria" w:hAnsi="Cambria"/>
          <w:color w:val="366091"/>
          <w:sz w:val="32"/>
          <w:szCs w:val="32"/>
          <w:rtl w:val="0"/>
        </w:rPr>
        <w:t xml:space="preserve">Professional Development Plans</w:t>
      </w:r>
    </w:p>
    <w:p w:rsidR="00000000" w:rsidDel="00000000" w:rsidP="00000000" w:rsidRDefault="00000000" w:rsidRPr="00000000" w14:paraId="00000020">
      <w:pPr>
        <w:pageBreakBefore w:val="0"/>
        <w:spacing w:after="200" w:line="276" w:lineRule="auto"/>
        <w:rPr>
          <w:sz w:val="12"/>
          <w:szCs w:val="12"/>
        </w:rPr>
      </w:pPr>
      <w:r w:rsidDel="00000000" w:rsidR="00000000" w:rsidRPr="00000000">
        <w:rPr>
          <w:rtl w:val="0"/>
        </w:rPr>
      </w:r>
    </w:p>
    <w:p w:rsidR="00000000" w:rsidDel="00000000" w:rsidP="00000000" w:rsidRDefault="00000000" w:rsidRPr="00000000" w14:paraId="00000021">
      <w:pPr>
        <w:pageBreakBefore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Let us know more about how you plan to use the scholarship funds to support your professional development. Be sure to include relevant costs. (300 word limit)</w:t>
      </w:r>
      <w:r w:rsidDel="00000000" w:rsidR="00000000" w:rsidRPr="00000000">
        <w:rPr>
          <w:rtl w:val="0"/>
        </w:rPr>
      </w:r>
    </w:p>
    <w:sectPr>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joshua.hager@ncdc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